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BD3B6" w14:textId="77777777" w:rsidR="00C911B4" w:rsidRDefault="00000000">
      <w:pPr>
        <w:pStyle w:val="Heading1"/>
        <w:jc w:val="center"/>
      </w:pPr>
      <w:r>
        <w:t>5-4-3-2-1 Grounding Technique Teaching Plan</w:t>
      </w:r>
    </w:p>
    <w:p w14:paraId="0AA5D6FF" w14:textId="77777777" w:rsidR="00C911B4" w:rsidRDefault="00000000">
      <w:pPr>
        <w:pStyle w:val="Heading2"/>
      </w:pPr>
      <w:r>
        <w:t>1. Lesson Information</w:t>
      </w:r>
    </w:p>
    <w:p w14:paraId="17359B14" w14:textId="77777777" w:rsidR="00C911B4" w:rsidRDefault="00000000">
      <w:r>
        <w:t>Grade Level: 6-8</w:t>
      </w:r>
      <w:r>
        <w:br/>
        <w:t>Lesson Title: 5-4-3-2-1 Grounding Technique</w:t>
      </w:r>
      <w:r>
        <w:br/>
        <w:t>Duration: 30 minutes</w:t>
      </w:r>
    </w:p>
    <w:p w14:paraId="7E8B08B5" w14:textId="77777777" w:rsidR="00C911B4" w:rsidRDefault="00000000">
      <w:pPr>
        <w:pStyle w:val="Heading2"/>
      </w:pPr>
      <w:r>
        <w:t>2. Learning Objectives (SMART format)</w:t>
      </w:r>
    </w:p>
    <w:p w14:paraId="36D9FBAB" w14:textId="754BA959" w:rsidR="00C911B4" w:rsidRDefault="00000000">
      <w:r>
        <w:t>1. By the end of this lesson, student</w:t>
      </w:r>
      <w:r w:rsidR="00537640">
        <w:t xml:space="preserve">s </w:t>
      </w:r>
      <w:r>
        <w:t>will be able to explain at least two benefits of the 5-4-3-2-1 grounding technique for stress management and emotional regulation and verbalize at least one situation where it could be used during the explain and reflect portion, as observed by instructors.</w:t>
      </w:r>
      <w:r>
        <w:br/>
      </w:r>
      <w:r>
        <w:br/>
        <w:t>2. By the end of this lesson, student</w:t>
      </w:r>
      <w:r w:rsidR="00537640">
        <w:t>s</w:t>
      </w:r>
      <w:r>
        <w:t xml:space="preserve"> will be able to correctly identify and demonstrate all five steps of the 5-4-3-2-1 grounding technique during a guided practice activity as observed by instructors.</w:t>
      </w:r>
      <w:r>
        <w:br/>
      </w:r>
      <w:r>
        <w:br/>
        <w:t>3. By the end of the lesson, student</w:t>
      </w:r>
      <w:r w:rsidR="00537640">
        <w:t xml:space="preserve">s </w:t>
      </w:r>
      <w:r>
        <w:t>will be able to guide a peer through the 5-4-3-2-1 grounding technique using accurate verbal prompts without instructor assistance, as observed by instructors (see one, do one, teach one method).</w:t>
      </w:r>
    </w:p>
    <w:p w14:paraId="6398A8F5" w14:textId="77777777" w:rsidR="00C911B4" w:rsidRDefault="00000000">
      <w:pPr>
        <w:pStyle w:val="Heading2"/>
      </w:pPr>
      <w:r>
        <w:t>3. Standards Alignment</w:t>
      </w:r>
    </w:p>
    <w:p w14:paraId="7296B709" w14:textId="77777777" w:rsidR="00C911B4" w:rsidRDefault="00000000">
      <w:r>
        <w:t>Curriculum Standard(s): Aligns with Collaborative for Academic, Social, and Emotional Learning (CASEL) Social and Emotional Learning (SEL) framework, National Health Education Standards (NHES), and Common Core State Standards (CCSS) English Language Arts (ELA) for speaking and listening.</w:t>
      </w:r>
      <w:r>
        <w:br/>
      </w:r>
      <w:r>
        <w:br/>
        <w:t>Skills Focus:</w:t>
      </w:r>
      <w:r>
        <w:br/>
      </w:r>
      <w:r>
        <w:br/>
        <w:t>• Self-Regulation Skills</w:t>
      </w:r>
      <w:r>
        <w:br/>
        <w:t>• CASEL: Self-Management – Demonstrate the ability to regulate emotions, thoughts, and behaviors in different situations.</w:t>
      </w:r>
      <w:r>
        <w:br/>
        <w:t>• NHES Standard 7: Practice health-enhancing behaviors and avoid or reduce health risks.</w:t>
      </w:r>
      <w:r>
        <w:br/>
      </w:r>
      <w:r>
        <w:br/>
        <w:t>• Mindfulness &amp; Focus</w:t>
      </w:r>
      <w:r>
        <w:br/>
        <w:t>• CASEL: Self-Awareness – Recognize one’s emotions and how they influence behavior.</w:t>
      </w:r>
      <w:r>
        <w:br/>
        <w:t>• NHES Standard 1: Comprehend concepts related to health promotion and disease prevention.</w:t>
      </w:r>
      <w:r>
        <w:br/>
      </w:r>
      <w:r>
        <w:br/>
        <w:t>• Stress Management Techniques</w:t>
      </w:r>
      <w:r>
        <w:br/>
        <w:t>• CASEL: Responsible Decision-Making – Apply strategies to manage stress and maintain focus.</w:t>
      </w:r>
      <w:r>
        <w:br/>
        <w:t>• NHES Standard 7: Demonstrate the ability to use stress-reduction techniques to support mental and emotional health.</w:t>
      </w:r>
      <w:r>
        <w:br/>
      </w:r>
      <w:r>
        <w:br/>
        <w:t>• Body Awareness</w:t>
      </w:r>
      <w:r>
        <w:br/>
        <w:t>• CASEL: Self-Awareness – Identify personal strengths and areas for growth in emotional regulation.</w:t>
      </w:r>
      <w:r>
        <w:br/>
        <w:t>• NHES Standard 1: Explain the relationship between physical responses and emotional states.</w:t>
      </w:r>
      <w:r>
        <w:br/>
      </w:r>
      <w:r>
        <w:br/>
        <w:t>• Communication &amp; Reflection</w:t>
      </w:r>
      <w:r>
        <w:br/>
        <w:t>• CASEL: Relationship Skills – Communicate effectively and listen actively.</w:t>
      </w:r>
      <w:r>
        <w:br/>
        <w:t>• NHES Standard 8: Advocate for personal, family, and community health by sharing calming strategies with peers.</w:t>
      </w:r>
      <w:r>
        <w:br/>
      </w:r>
      <w:r>
        <w:lastRenderedPageBreak/>
        <w:t>• CCSS.ELA-LITERACY.SL.6-8.1: Engage in collaborative discussions, building on others’ ideas and expressing their own clearly.</w:t>
      </w:r>
    </w:p>
    <w:p w14:paraId="1AF8D406" w14:textId="77777777" w:rsidR="00C911B4" w:rsidRDefault="00000000">
      <w:pPr>
        <w:pStyle w:val="Heading2"/>
      </w:pPr>
      <w:r>
        <w:t>4. Materials &amp; Resources</w:t>
      </w:r>
    </w:p>
    <w:p w14:paraId="56EAB87B" w14:textId="77777777" w:rsidR="00C911B4" w:rsidRDefault="00000000">
      <w:r>
        <w:t>Teacher: Whiteboard, timer, optional calming music</w:t>
      </w:r>
      <w:r>
        <w:br/>
      </w:r>
      <w:r>
        <w:br/>
        <w:t>Students: 5-4-3-2-1 grounding handout, pencil</w:t>
      </w:r>
      <w:r>
        <w:br/>
      </w:r>
      <w:r>
        <w:br/>
        <w:t>Handout includes:</w:t>
      </w:r>
      <w:r>
        <w:br/>
        <w:t>• The five grounding prompts</w:t>
      </w:r>
      <w:r>
        <w:br/>
        <w:t>• Reflection questions</w:t>
      </w:r>
      <w:r>
        <w:br/>
        <w:t>• Example situations where grounding may be helpful</w:t>
      </w:r>
    </w:p>
    <w:p w14:paraId="05B41969" w14:textId="77777777" w:rsidR="00C911B4" w:rsidRDefault="00000000">
      <w:pPr>
        <w:pStyle w:val="Heading2"/>
      </w:pPr>
      <w:r>
        <w:t>5. Lesson Flow</w:t>
      </w:r>
    </w:p>
    <w:p w14:paraId="693F72A3" w14:textId="77777777" w:rsidR="00C911B4" w:rsidRDefault="00000000">
      <w:r>
        <w:t>A. Engage (5–10 min)</w:t>
      </w:r>
      <w:r>
        <w:br/>
      </w:r>
      <w:r>
        <w:br/>
        <w:t>• Hook: Ask students, “Have you ever felt overwhelmed, anxious, or distracted and wished you could quickly calm your mind?”</w:t>
      </w:r>
      <w:r>
        <w:br/>
        <w:t>• Purpose: Explain that the 5-4-3-2-1 grounding technique is a coping skill that helps bring attention back to the present moment using the five senses.</w:t>
      </w:r>
      <w:r>
        <w:br/>
        <w:t>• When: Before tests, presentations, after conflict, during anxiety, or when feeling overwhelmed.</w:t>
      </w:r>
      <w:r>
        <w:br/>
      </w:r>
      <w:r>
        <w:br/>
        <w:t>B. Explore (15–20 min)</w:t>
      </w:r>
      <w:r>
        <w:br/>
      </w:r>
      <w:r>
        <w:br/>
        <w:t>• Activity 1: Explain the technique</w:t>
      </w:r>
      <w:r>
        <w:br/>
        <w:t>• Give students the handout.</w:t>
      </w:r>
      <w:r>
        <w:br/>
        <w:t>• Explain the 5-4-3-2-1 grounding steps:</w:t>
      </w:r>
      <w:r>
        <w:br/>
      </w:r>
      <w:r>
        <w:br/>
        <w:t>1. Name 5 things you can see</w:t>
      </w:r>
      <w:r>
        <w:br/>
        <w:t>2. Name 4 things you can feel</w:t>
      </w:r>
      <w:r>
        <w:br/>
        <w:t>3. Name 3 things you can hear</w:t>
      </w:r>
      <w:r>
        <w:br/>
        <w:t>4. Name 2 things you can smell</w:t>
      </w:r>
      <w:r>
        <w:br/>
        <w:t>5. Name 1 thing you can taste</w:t>
      </w:r>
      <w:r>
        <w:br/>
      </w:r>
      <w:r>
        <w:br/>
        <w:t>• Discuss how focusing on the senses can help redirect attention away from stress and anxious thoughts.</w:t>
      </w:r>
      <w:r>
        <w:br/>
      </w:r>
      <w:r>
        <w:br/>
        <w:t>• Activity 2: Guided Practice</w:t>
      </w:r>
      <w:r>
        <w:br/>
        <w:t>• Have students sit comfortably, feet flat, hands on lap/table.</w:t>
      </w:r>
      <w:r>
        <w:br/>
        <w:t>• Provide trauma-informed care disclaimer.</w:t>
      </w:r>
      <w:r>
        <w:br/>
      </w:r>
      <w:r>
        <w:br/>
        <w:t>• Trauma-Informed Care Disclaimer:</w:t>
      </w:r>
      <w:r>
        <w:br/>
        <w:t>“Before we start, just know you are always in control of your experience. If at any point you feel uncomfortable, you can keep your eyes open, sit quietly, or stop the activity. This is your space, and you can return your attention to the room at any time. With coping tools, you get to decide which ones work best for you.”</w:t>
      </w:r>
      <w:r>
        <w:br/>
      </w:r>
      <w:r>
        <w:br/>
        <w:t>• Guide students through the 5-4-3-2-1 grounding exercise using classroom surroundings.</w:t>
      </w:r>
      <w:r>
        <w:br/>
      </w:r>
      <w:r>
        <w:br/>
        <w:t>Example script:</w:t>
      </w:r>
      <w:r>
        <w:br/>
      </w:r>
      <w:r>
        <w:lastRenderedPageBreak/>
        <w:t>“Take a slow breath in and gently look around the room. Find 5 things you can see… Now notice 4 things you can physically feel, such as your feet on the floor or your clothing against your skin… Next, listen carefully and identify 3 things you can hear… Then notice 2 things you can smell… Finally, identify 1 thing you can taste or imagine tasting.”</w:t>
      </w:r>
      <w:r>
        <w:br/>
      </w:r>
      <w:r>
        <w:br/>
        <w:t>• Activity 3: Peer Teaching (See One, Do One, Teach One)</w:t>
      </w:r>
      <w:r>
        <w:br/>
        <w:t>• Provide an example scenario where students may use grounding with a peer (helping a friend calm down before a presentation or after feeling overwhelmed).</w:t>
      </w:r>
      <w:r>
        <w:br/>
        <w:t>• Have students pair up and take turns guiding each other through the grounding technique.</w:t>
      </w:r>
      <w:r>
        <w:br/>
        <w:t>• Instructors will circulate to observe and evaluate how effectively mentors provide verbal cues and teach their peers.</w:t>
      </w:r>
      <w:r>
        <w:br/>
      </w:r>
      <w:r>
        <w:br/>
        <w:t>C. Explain &amp; Reflect (10–15 min)</w:t>
      </w:r>
      <w:r>
        <w:br/>
      </w:r>
      <w:r>
        <w:br/>
        <w:t>• Ask students, “How are you feeling now compared to before we started?”</w:t>
      </w:r>
      <w:r>
        <w:br/>
        <w:t>• Review key concepts.</w:t>
      </w:r>
      <w:r>
        <w:br/>
        <w:t>• Discuss situations where grounding techniques may be useful in daily life.</w:t>
      </w:r>
      <w:r>
        <w:br/>
        <w:t>• Have students complete the reflection portion of the handout (not collected).</w:t>
      </w:r>
    </w:p>
    <w:p w14:paraId="421DB879" w14:textId="77777777" w:rsidR="00C911B4" w:rsidRDefault="00000000">
      <w:pPr>
        <w:pStyle w:val="Heading2"/>
      </w:pPr>
      <w:r>
        <w:t>6. Assessment</w:t>
      </w:r>
    </w:p>
    <w:p w14:paraId="093ACAF5" w14:textId="77777777" w:rsidR="00C911B4" w:rsidRDefault="00000000">
      <w:r>
        <w:t>• Formative: Students rate their confidence from 0–10 in teaching the grounding technique before and after the lesson.</w:t>
      </w:r>
      <w:r>
        <w:br/>
      </w:r>
      <w:r>
        <w:br/>
        <w:t>• Summative: Student mentor implementation with one peer. Teachers and counselors will evaluate the effectiveness of the mentors’ teaching based on their ability to accurately guide peers through the grounding activity.</w:t>
      </w:r>
      <w:r>
        <w:br/>
      </w:r>
      <w:r>
        <w:br/>
        <w:t>• Self-Assessment: Reflection discussion with staff immediately following the lesson during the staff debrief period.</w:t>
      </w:r>
    </w:p>
    <w:p w14:paraId="2F88DA0B" w14:textId="77777777" w:rsidR="00C911B4" w:rsidRDefault="00000000">
      <w:pPr>
        <w:pStyle w:val="Heading2"/>
      </w:pPr>
      <w:r>
        <w:t>7. Differentiation Strategies</w:t>
      </w:r>
    </w:p>
    <w:p w14:paraId="3021A4F3" w14:textId="77777777" w:rsidR="00C911B4" w:rsidRDefault="00000000">
      <w:r>
        <w:t>• Support for struggling learners: One-on-one assistance, visual examples, sentence starters</w:t>
      </w:r>
      <w:r>
        <w:br/>
      </w:r>
      <w:r>
        <w:br/>
        <w:t>• Extensions for advanced learners: Increased leadership opportunities during peer teaching, creating additional grounding examples or scenarios</w:t>
      </w:r>
      <w:r>
        <w:br/>
      </w:r>
      <w:r>
        <w:br/>
        <w:t>• Accommodations for special needs: Quiet space, optional eyes-open participation, fidget tools, one-on-one support as needed</w:t>
      </w:r>
    </w:p>
    <w:p w14:paraId="15C1C6A9" w14:textId="77777777" w:rsidR="00C911B4" w:rsidRDefault="00000000">
      <w:pPr>
        <w:pStyle w:val="Heading2"/>
      </w:pPr>
      <w:r>
        <w:t>8. Reflection (Teacher Notes)</w:t>
      </w:r>
    </w:p>
    <w:p w14:paraId="45EF06B4" w14:textId="77777777" w:rsidR="00C911B4" w:rsidRDefault="00000000">
      <w:r>
        <w:t>• What worked well:</w:t>
      </w:r>
      <w:r>
        <w:br/>
      </w:r>
      <w:r>
        <w:br/>
        <w:t>• What to improve:</w:t>
      </w:r>
      <w:r>
        <w:br/>
      </w:r>
      <w:r>
        <w:br/>
        <w:t>• Student feedback highlights:</w:t>
      </w:r>
    </w:p>
    <w:p w14:paraId="2BCDEAD7" w14:textId="7915C5FF" w:rsidR="009A584C" w:rsidRDefault="009A584C">
      <w:pPr>
        <w:pStyle w:val="Heading2"/>
      </w:pPr>
    </w:p>
    <w:p w14:paraId="41DE4105" w14:textId="77777777" w:rsidR="009A584C" w:rsidRPr="009A584C" w:rsidRDefault="009A584C" w:rsidP="009A584C"/>
    <w:p w14:paraId="0249EBA2" w14:textId="1C221816" w:rsidR="009A584C" w:rsidRPr="009A584C" w:rsidRDefault="00000000" w:rsidP="0024218E">
      <w:pPr>
        <w:pStyle w:val="Heading2"/>
        <w:spacing w:line="480" w:lineRule="auto"/>
        <w:ind w:hanging="720"/>
        <w:contextualSpacing/>
        <w:jc w:val="center"/>
        <w:rPr>
          <w:rFonts w:ascii="Times New Roman" w:hAnsi="Times New Roman" w:cs="Times New Roman"/>
          <w:color w:val="000000" w:themeColor="text1"/>
          <w:sz w:val="22"/>
          <w:szCs w:val="22"/>
        </w:rPr>
      </w:pPr>
      <w:r w:rsidRPr="009A584C">
        <w:rPr>
          <w:rFonts w:ascii="Times New Roman" w:hAnsi="Times New Roman" w:cs="Times New Roman"/>
          <w:color w:val="000000" w:themeColor="text1"/>
          <w:sz w:val="22"/>
          <w:szCs w:val="22"/>
        </w:rPr>
        <w:lastRenderedPageBreak/>
        <w:t>References</w:t>
      </w:r>
    </w:p>
    <w:p w14:paraId="0B2E51D1" w14:textId="2803FE08" w:rsidR="0071154D" w:rsidRDefault="009A584C" w:rsidP="0071154D">
      <w:pPr>
        <w:spacing w:after="0" w:line="480" w:lineRule="auto"/>
        <w:ind w:left="720" w:hanging="720"/>
        <w:contextualSpacing/>
        <w:rPr>
          <w:rFonts w:ascii="Times New Roman" w:hAnsi="Times New Roman" w:cs="Times New Roman"/>
        </w:rPr>
      </w:pPr>
      <w:r w:rsidRPr="009A584C">
        <w:rPr>
          <w:rFonts w:ascii="Times New Roman" w:hAnsi="Times New Roman" w:cs="Times New Roman"/>
        </w:rPr>
        <w:t>Adams, K. S.</w:t>
      </w:r>
      <w:r w:rsidR="0071154D">
        <w:rPr>
          <w:rFonts w:ascii="Times New Roman" w:hAnsi="Times New Roman" w:cs="Times New Roman"/>
        </w:rPr>
        <w:t xml:space="preserve">, &amp; </w:t>
      </w:r>
      <w:r w:rsidR="0071154D" w:rsidRPr="0071154D">
        <w:rPr>
          <w:rFonts w:ascii="Times New Roman" w:hAnsi="Times New Roman" w:cs="Times New Roman"/>
        </w:rPr>
        <w:t>Branscome</w:t>
      </w:r>
      <w:r w:rsidR="0071154D">
        <w:rPr>
          <w:rFonts w:ascii="Times New Roman" w:hAnsi="Times New Roman" w:cs="Times New Roman"/>
        </w:rPr>
        <w:t xml:space="preserve">, </w:t>
      </w:r>
      <w:r w:rsidR="0071154D" w:rsidRPr="0071154D">
        <w:rPr>
          <w:rFonts w:ascii="Times New Roman" w:hAnsi="Times New Roman" w:cs="Times New Roman"/>
        </w:rPr>
        <w:t>J</w:t>
      </w:r>
      <w:r w:rsidR="0071154D">
        <w:rPr>
          <w:rFonts w:ascii="Times New Roman" w:hAnsi="Times New Roman" w:cs="Times New Roman"/>
        </w:rPr>
        <w:t>.</w:t>
      </w:r>
      <w:r w:rsidR="0071154D" w:rsidRPr="0071154D">
        <w:rPr>
          <w:rFonts w:ascii="Times New Roman" w:hAnsi="Times New Roman" w:cs="Times New Roman"/>
        </w:rPr>
        <w:t xml:space="preserve"> M.  </w:t>
      </w:r>
      <w:r w:rsidRPr="009A584C">
        <w:rPr>
          <w:rFonts w:ascii="Times New Roman" w:hAnsi="Times New Roman" w:cs="Times New Roman"/>
        </w:rPr>
        <w:t xml:space="preserve">(2020). </w:t>
      </w:r>
      <w:r w:rsidR="00F6167D">
        <w:rPr>
          <w:rFonts w:ascii="Times New Roman" w:hAnsi="Times New Roman" w:cs="Times New Roman"/>
        </w:rPr>
        <w:t xml:space="preserve">Emotion dysregulation and anxiety in students: Mindfulness strategies for school counselors. </w:t>
      </w:r>
      <w:r w:rsidRPr="006C3D4F">
        <w:rPr>
          <w:rFonts w:ascii="Times New Roman" w:hAnsi="Times New Roman" w:cs="Times New Roman"/>
          <w:i/>
          <w:iCs/>
        </w:rPr>
        <w:t>Georgia School Counselors Association.</w:t>
      </w:r>
      <w:r w:rsidRPr="009A584C">
        <w:rPr>
          <w:rFonts w:ascii="Times New Roman" w:hAnsi="Times New Roman" w:cs="Times New Roman"/>
        </w:rPr>
        <w:t xml:space="preserve"> </w:t>
      </w:r>
      <w:hyperlink r:id="rId6" w:history="1">
        <w:r w:rsidR="0071154D" w:rsidRPr="005F26D8">
          <w:rPr>
            <w:rStyle w:val="Hyperlink"/>
            <w:rFonts w:ascii="Times New Roman" w:hAnsi="Times New Roman" w:cs="Times New Roman"/>
          </w:rPr>
          <w:t>https://files.eric.ed.gov/fulltext/EJ1278249.pdf</w:t>
        </w:r>
      </w:hyperlink>
    </w:p>
    <w:p w14:paraId="1ED23B04" w14:textId="7B6F0838" w:rsidR="009A584C" w:rsidRDefault="009A584C" w:rsidP="0071154D">
      <w:pPr>
        <w:spacing w:after="0" w:line="480" w:lineRule="auto"/>
        <w:ind w:left="720" w:hanging="720"/>
        <w:contextualSpacing/>
        <w:rPr>
          <w:rFonts w:ascii="Times New Roman" w:hAnsi="Times New Roman" w:cs="Times New Roman"/>
        </w:rPr>
      </w:pPr>
      <w:r w:rsidRPr="009A584C">
        <w:rPr>
          <w:rFonts w:ascii="Times New Roman" w:hAnsi="Times New Roman" w:cs="Times New Roman"/>
        </w:rPr>
        <w:t xml:space="preserve">Aulia, N., &amp; Rusman, A. A. (2025). Reducing social anxiety in adolescents: The efficacy of group counseling with grounding techniques. </w:t>
      </w:r>
      <w:r w:rsidRPr="00127FDA">
        <w:rPr>
          <w:rFonts w:ascii="Times New Roman" w:hAnsi="Times New Roman" w:cs="Times New Roman"/>
          <w:i/>
          <w:iCs/>
        </w:rPr>
        <w:t>Journal of Social Work and Science Education</w:t>
      </w:r>
      <w:r w:rsidRPr="009A584C">
        <w:rPr>
          <w:rFonts w:ascii="Times New Roman" w:hAnsi="Times New Roman" w:cs="Times New Roman"/>
        </w:rPr>
        <w:t>, 6(3), 1168–1183.</w:t>
      </w:r>
      <w:r w:rsidR="00623FB5">
        <w:rPr>
          <w:rFonts w:ascii="Times New Roman" w:hAnsi="Times New Roman" w:cs="Times New Roman"/>
        </w:rPr>
        <w:t xml:space="preserve"> </w:t>
      </w:r>
      <w:hyperlink r:id="rId7" w:history="1">
        <w:r w:rsidR="00623FB5" w:rsidRPr="005F26D8">
          <w:rPr>
            <w:rStyle w:val="Hyperlink"/>
            <w:rFonts w:ascii="Times New Roman" w:hAnsi="Times New Roman" w:cs="Times New Roman"/>
          </w:rPr>
          <w:t>https://doi.org/10.52690/jswse.v6i3.1229</w:t>
        </w:r>
      </w:hyperlink>
    </w:p>
    <w:p w14:paraId="695A9B27" w14:textId="264E2445" w:rsidR="009A584C" w:rsidRPr="001608F0" w:rsidRDefault="009A584C" w:rsidP="0024218E">
      <w:pPr>
        <w:spacing w:after="0" w:line="480" w:lineRule="auto"/>
        <w:ind w:left="720" w:hanging="720"/>
        <w:contextualSpacing/>
        <w:rPr>
          <w:rFonts w:ascii="Times New Roman" w:hAnsi="Times New Roman" w:cs="Times New Roman"/>
        </w:rPr>
      </w:pPr>
      <w:r w:rsidRPr="3F7E60C2">
        <w:rPr>
          <w:rFonts w:ascii="Times New Roman" w:hAnsi="Times New Roman" w:cs="Times New Roman"/>
        </w:rPr>
        <w:t xml:space="preserve">Brill, K., McGuinness, C., &amp; Nordstokke, D. (2025). Relations between a social emotional learning (SEL) program and changes in resilience, self-esteem, and psychological flourishing in a youth sample. </w:t>
      </w:r>
      <w:r w:rsidRPr="3F7E60C2">
        <w:rPr>
          <w:rFonts w:ascii="Times New Roman" w:hAnsi="Times New Roman" w:cs="Times New Roman"/>
          <w:i/>
          <w:iCs/>
        </w:rPr>
        <w:t>Discover Mental Health,</w:t>
      </w:r>
      <w:r w:rsidRPr="3F7E60C2">
        <w:rPr>
          <w:rFonts w:ascii="Times New Roman" w:hAnsi="Times New Roman" w:cs="Times New Roman"/>
        </w:rPr>
        <w:t xml:space="preserve"> 5, Article 43. </w:t>
      </w:r>
      <w:hyperlink r:id="rId8">
        <w:r w:rsidRPr="3F7E60C2">
          <w:rPr>
            <w:rStyle w:val="Hyperlink"/>
            <w:rFonts w:ascii="Times New Roman" w:hAnsi="Times New Roman" w:cs="Times New Roman"/>
          </w:rPr>
          <w:t>https://doi.org/10.1007/s44192-025-00173-x</w:t>
        </w:r>
      </w:hyperlink>
    </w:p>
    <w:p w14:paraId="784E7FE3" w14:textId="77777777" w:rsidR="006930B9" w:rsidRDefault="006930B9" w:rsidP="0024218E">
      <w:pPr>
        <w:spacing w:after="0" w:line="480" w:lineRule="auto"/>
        <w:ind w:left="720" w:hanging="720"/>
        <w:contextualSpacing/>
      </w:pPr>
      <w:r>
        <w:t xml:space="preserve">Collaborative for Academic, Social, and Emotional Learning. (2026). CASEL framework. Retrieved May 22, 2026, from </w:t>
      </w:r>
      <w:hyperlink r:id="rId9" w:history="1">
        <w:r>
          <w:rPr>
            <w:rStyle w:val="Hyperlink"/>
          </w:rPr>
          <w:t>https://casel.org/fundamentals-of-sel/what-is-the-casel-framework/</w:t>
        </w:r>
      </w:hyperlink>
    </w:p>
    <w:p w14:paraId="79E1CF5E" w14:textId="7E46AC57" w:rsidR="009A584C" w:rsidRPr="001608F0" w:rsidRDefault="009A584C" w:rsidP="0024218E">
      <w:pPr>
        <w:spacing w:after="0" w:line="480" w:lineRule="auto"/>
        <w:ind w:left="720" w:hanging="720"/>
        <w:contextualSpacing/>
        <w:rPr>
          <w:rFonts w:ascii="Times New Roman" w:hAnsi="Times New Roman" w:cs="Times New Roman"/>
        </w:rPr>
      </w:pPr>
      <w:r w:rsidRPr="3F7E60C2">
        <w:rPr>
          <w:rFonts w:ascii="Times New Roman" w:hAnsi="Times New Roman" w:cs="Times New Roman"/>
          <w:lang w:val="es-ES"/>
        </w:rPr>
        <w:t xml:space="preserve">Le, H.-G., Sok, S., &amp; Heng, K. (2024). </w:t>
      </w:r>
      <w:r w:rsidRPr="3F7E60C2">
        <w:rPr>
          <w:rFonts w:ascii="Times New Roman" w:hAnsi="Times New Roman" w:cs="Times New Roman"/>
        </w:rPr>
        <w:t xml:space="preserve">The benefits of peer mentoring in higher education: Findings from a systematic review. </w:t>
      </w:r>
      <w:r w:rsidRPr="3F7E60C2">
        <w:rPr>
          <w:rFonts w:ascii="Times New Roman" w:hAnsi="Times New Roman" w:cs="Times New Roman"/>
          <w:i/>
          <w:iCs/>
        </w:rPr>
        <w:t>Journal of Learning Development in Higher Education</w:t>
      </w:r>
      <w:r w:rsidRPr="3F7E60C2">
        <w:rPr>
          <w:rFonts w:ascii="Times New Roman" w:hAnsi="Times New Roman" w:cs="Times New Roman"/>
        </w:rPr>
        <w:t xml:space="preserve">, 31. </w:t>
      </w:r>
      <w:hyperlink r:id="rId10">
        <w:r w:rsidRPr="3F7E60C2">
          <w:rPr>
            <w:rStyle w:val="Hyperlink"/>
            <w:rFonts w:ascii="Times New Roman" w:hAnsi="Times New Roman" w:cs="Times New Roman"/>
          </w:rPr>
          <w:t>https://doi.org/10.47408/jldhe.vi31.1159</w:t>
        </w:r>
      </w:hyperlink>
    </w:p>
    <w:p w14:paraId="66DD4946" w14:textId="77777777" w:rsidR="009A584C" w:rsidRDefault="009A584C" w:rsidP="0024218E">
      <w:pPr>
        <w:spacing w:line="480" w:lineRule="auto"/>
        <w:ind w:left="720" w:hanging="720"/>
        <w:contextualSpacing/>
      </w:pPr>
      <w:r w:rsidRPr="3F7E60C2">
        <w:rPr>
          <w:rFonts w:ascii="Times New Roman" w:hAnsi="Times New Roman" w:cs="Times New Roman"/>
          <w:color w:val="000000" w:themeColor="text1"/>
        </w:rPr>
        <w:t>Pointon-Haas, J., Waqar, L., Upsher, R., Foster, J., Byrom, N., &amp; Oates, J. (2023). A systematic review of peer support interventions for student mental health and well-being in higher education.</w:t>
      </w:r>
      <w:r w:rsidRPr="3F7E60C2">
        <w:rPr>
          <w:rStyle w:val="apple-converted-space"/>
          <w:rFonts w:ascii="Times New Roman" w:hAnsi="Times New Roman" w:cs="Times New Roman"/>
          <w:color w:val="000000" w:themeColor="text1"/>
        </w:rPr>
        <w:t> </w:t>
      </w:r>
      <w:r w:rsidRPr="3F7E60C2">
        <w:rPr>
          <w:rStyle w:val="Emphasis"/>
          <w:rFonts w:ascii="Times New Roman" w:hAnsi="Times New Roman" w:cs="Times New Roman"/>
          <w:color w:val="000000" w:themeColor="text1"/>
        </w:rPr>
        <w:t>BJPsych Open, 10</w:t>
      </w:r>
      <w:r w:rsidRPr="3F7E60C2">
        <w:rPr>
          <w:rFonts w:ascii="Times New Roman" w:hAnsi="Times New Roman" w:cs="Times New Roman"/>
          <w:color w:val="000000" w:themeColor="text1"/>
        </w:rPr>
        <w:t>, Article e12.</w:t>
      </w:r>
      <w:r w:rsidRPr="3F7E60C2">
        <w:rPr>
          <w:rStyle w:val="apple-converted-space"/>
          <w:rFonts w:ascii="Times New Roman" w:hAnsi="Times New Roman" w:cs="Times New Roman"/>
          <w:color w:val="000000" w:themeColor="text1"/>
        </w:rPr>
        <w:t> </w:t>
      </w:r>
      <w:hyperlink r:id="rId11">
        <w:r w:rsidRPr="3F7E60C2">
          <w:rPr>
            <w:rStyle w:val="Hyperlink"/>
            <w:rFonts w:ascii="Times New Roman" w:hAnsi="Times New Roman" w:cs="Times New Roman"/>
          </w:rPr>
          <w:t>https://doi.org/10.1192/bjo.2023.603</w:t>
        </w:r>
      </w:hyperlink>
    </w:p>
    <w:p w14:paraId="45F1687D" w14:textId="3C2FDB9E" w:rsidR="0074123C" w:rsidRDefault="0074123C" w:rsidP="0024218E">
      <w:pPr>
        <w:spacing w:line="480" w:lineRule="auto"/>
        <w:ind w:left="720" w:hanging="720"/>
        <w:contextualSpacing/>
      </w:pPr>
      <w:r w:rsidRPr="0074123C">
        <w:t xml:space="preserve">Vohra, S., &amp; McClafferty, H. (2016). Mind-body therapies in children and youth. </w:t>
      </w:r>
      <w:r w:rsidRPr="0074123C">
        <w:rPr>
          <w:i/>
          <w:iCs/>
        </w:rPr>
        <w:t>Pediatrics</w:t>
      </w:r>
      <w:r w:rsidRPr="0074123C">
        <w:t xml:space="preserve">, </w:t>
      </w:r>
      <w:r w:rsidRPr="0074123C">
        <w:rPr>
          <w:i/>
          <w:iCs/>
        </w:rPr>
        <w:t>138</w:t>
      </w:r>
      <w:r w:rsidRPr="0074123C">
        <w:t xml:space="preserve">(3), e20161896. </w:t>
      </w:r>
      <w:hyperlink r:id="rId12" w:history="1">
        <w:r w:rsidRPr="0074123C">
          <w:rPr>
            <w:rStyle w:val="Hyperlink"/>
          </w:rPr>
          <w:t>https://doi.org/10.1542/peds.2016-1896</w:t>
        </w:r>
      </w:hyperlink>
    </w:p>
    <w:p w14:paraId="26B42E22" w14:textId="044A89A3" w:rsidR="009A584C" w:rsidRDefault="009A584C"/>
    <w:p w14:paraId="184DB19E" w14:textId="77777777" w:rsidR="00510AAC" w:rsidRDefault="00510AAC"/>
    <w:p w14:paraId="72749541" w14:textId="77777777" w:rsidR="00510AAC" w:rsidRDefault="00510AAC"/>
    <w:p w14:paraId="6A2F8A51" w14:textId="77777777" w:rsidR="00510AAC" w:rsidRDefault="00510AAC"/>
    <w:p w14:paraId="17E57A41" w14:textId="77777777" w:rsidR="00510AAC" w:rsidRDefault="00510AAC"/>
    <w:p w14:paraId="7F8BE95D" w14:textId="77777777" w:rsidR="00510AAC" w:rsidRDefault="00510AAC"/>
    <w:p w14:paraId="38D350FD" w14:textId="77777777" w:rsidR="00510AAC" w:rsidRDefault="00510AAC"/>
    <w:p w14:paraId="53053B43" w14:textId="77777777" w:rsidR="00510AAC" w:rsidRDefault="00510AAC"/>
    <w:p w14:paraId="68938122" w14:textId="77777777" w:rsidR="00510AAC" w:rsidRDefault="00510AAC"/>
    <w:p w14:paraId="5C2AB59E" w14:textId="77777777" w:rsidR="00510AAC" w:rsidRDefault="00510AAC"/>
    <w:p w14:paraId="55430A2C" w14:textId="77777777" w:rsidR="00510AAC" w:rsidRDefault="00510AAC"/>
    <w:p w14:paraId="3DD2EB9D" w14:textId="028C2274" w:rsidR="00510AAC" w:rsidRDefault="00510AAC">
      <w:r>
        <w:rPr>
          <w:noProof/>
        </w:rPr>
        <w:lastRenderedPageBreak/>
        <w:drawing>
          <wp:inline distT="0" distB="0" distL="0" distR="0" wp14:anchorId="551271CA" wp14:editId="3FA42E53">
            <wp:extent cx="6096000" cy="9144000"/>
            <wp:effectExtent l="0" t="0" r="0" b="0"/>
            <wp:docPr id="196170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0553" name=""/>
                    <pic:cNvPicPr/>
                  </pic:nvPicPr>
                  <pic:blipFill>
                    <a:blip r:embed="rId13"/>
                    <a:stretch>
                      <a:fillRect/>
                    </a:stretch>
                  </pic:blipFill>
                  <pic:spPr>
                    <a:xfrm>
                      <a:off x="0" y="0"/>
                      <a:ext cx="6096000" cy="9144000"/>
                    </a:xfrm>
                    <a:prstGeom prst="rect">
                      <a:avLst/>
                    </a:prstGeom>
                  </pic:spPr>
                </pic:pic>
              </a:graphicData>
            </a:graphic>
          </wp:inline>
        </w:drawing>
      </w:r>
    </w:p>
    <w:sectPr w:rsidR="00510AAC" w:rsidSect="001F179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669138700">
    <w:abstractNumId w:val="8"/>
  </w:num>
  <w:num w:numId="2" w16cid:durableId="1773432643">
    <w:abstractNumId w:val="6"/>
  </w:num>
  <w:num w:numId="3" w16cid:durableId="1987976803">
    <w:abstractNumId w:val="5"/>
  </w:num>
  <w:num w:numId="4" w16cid:durableId="2076389545">
    <w:abstractNumId w:val="4"/>
  </w:num>
  <w:num w:numId="5" w16cid:durableId="1911428154">
    <w:abstractNumId w:val="7"/>
  </w:num>
  <w:num w:numId="6" w16cid:durableId="1314141879">
    <w:abstractNumId w:val="3"/>
  </w:num>
  <w:num w:numId="7" w16cid:durableId="1346708113">
    <w:abstractNumId w:val="2"/>
  </w:num>
  <w:num w:numId="8" w16cid:durableId="1861773801">
    <w:abstractNumId w:val="1"/>
  </w:num>
  <w:num w:numId="9" w16cid:durableId="1000815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3442"/>
    <w:rsid w:val="00034616"/>
    <w:rsid w:val="0006063C"/>
    <w:rsid w:val="00127FDA"/>
    <w:rsid w:val="0015074B"/>
    <w:rsid w:val="001F179E"/>
    <w:rsid w:val="0024218E"/>
    <w:rsid w:val="0029639D"/>
    <w:rsid w:val="00326F90"/>
    <w:rsid w:val="00415B83"/>
    <w:rsid w:val="00467EFB"/>
    <w:rsid w:val="00510AAC"/>
    <w:rsid w:val="00537640"/>
    <w:rsid w:val="00623FB5"/>
    <w:rsid w:val="006930B9"/>
    <w:rsid w:val="006A44BD"/>
    <w:rsid w:val="006C3D4F"/>
    <w:rsid w:val="0071154D"/>
    <w:rsid w:val="0074123C"/>
    <w:rsid w:val="008227DE"/>
    <w:rsid w:val="009A584C"/>
    <w:rsid w:val="00AA1D8D"/>
    <w:rsid w:val="00B47730"/>
    <w:rsid w:val="00C911B4"/>
    <w:rsid w:val="00CB0664"/>
    <w:rsid w:val="00EB457F"/>
    <w:rsid w:val="00F6167D"/>
    <w:rsid w:val="00FC1A0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901711"/>
  <w14:defaultImageDpi w14:val="300"/>
  <w15:docId w15:val="{1565A9F8-6D09-5A4C-B63A-F83CE084E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9A584C"/>
    <w:rPr>
      <w:color w:val="0000FF" w:themeColor="hyperlink"/>
      <w:u w:val="single"/>
    </w:rPr>
  </w:style>
  <w:style w:type="character" w:styleId="UnresolvedMention">
    <w:name w:val="Unresolved Mention"/>
    <w:basedOn w:val="DefaultParagraphFont"/>
    <w:uiPriority w:val="99"/>
    <w:semiHidden/>
    <w:unhideWhenUsed/>
    <w:rsid w:val="009A584C"/>
    <w:rPr>
      <w:color w:val="605E5C"/>
      <w:shd w:val="clear" w:color="auto" w:fill="E1DFDD"/>
    </w:rPr>
  </w:style>
  <w:style w:type="character" w:customStyle="1" w:styleId="apple-converted-space">
    <w:name w:val="apple-converted-space"/>
    <w:basedOn w:val="DefaultParagraphFont"/>
    <w:rsid w:val="009A584C"/>
  </w:style>
  <w:style w:type="character" w:styleId="FollowedHyperlink">
    <w:name w:val="FollowedHyperlink"/>
    <w:basedOn w:val="DefaultParagraphFont"/>
    <w:uiPriority w:val="99"/>
    <w:semiHidden/>
    <w:unhideWhenUsed/>
    <w:rsid w:val="007115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44192-025-00173-x"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doi.org/10.52690/jswse.v6i3.1229" TargetMode="External"/><Relationship Id="rId12" Type="http://schemas.openxmlformats.org/officeDocument/2006/relationships/hyperlink" Target="https://doi.org/10.1542/peds.2016-189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iles.eric.ed.gov/fulltext/EJ1278249.pdf" TargetMode="External"/><Relationship Id="rId11" Type="http://schemas.openxmlformats.org/officeDocument/2006/relationships/hyperlink" Target="https://doi.org/10.1192/bjo.2023.60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47408/jldhe.vi31.1159" TargetMode="External"/><Relationship Id="rId4" Type="http://schemas.openxmlformats.org/officeDocument/2006/relationships/settings" Target="settings.xml"/><Relationship Id="rId9" Type="http://schemas.openxmlformats.org/officeDocument/2006/relationships/hyperlink" Target="https://casel.org/fundamentals-of-sel/what-is-the-casel-framewor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1222</Words>
  <Characters>6969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Megan Tibbetts</cp:lastModifiedBy>
  <cp:revision>17</cp:revision>
  <dcterms:created xsi:type="dcterms:W3CDTF">2026-05-18T11:45:00Z</dcterms:created>
  <dcterms:modified xsi:type="dcterms:W3CDTF">2026-06-11T06:57:00Z</dcterms:modified>
  <cp:category/>
</cp:coreProperties>
</file>